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Default="00E62345" w:rsidP="009E7441">
      <w:pPr>
        <w:pStyle w:val="12"/>
        <w:spacing w:line="230" w:lineRule="auto"/>
        <w:rPr>
          <w:rFonts w:eastAsia="Courier New"/>
          <w:color w:val="000000"/>
          <w:sz w:val="28"/>
          <w:szCs w:val="28"/>
        </w:rPr>
      </w:pPr>
      <w:r w:rsidRPr="00254624">
        <w:rPr>
          <w:sz w:val="28"/>
          <w:szCs w:val="28"/>
        </w:rPr>
        <w:t>В ходе выполнения проекта по Соглашению о предоста</w:t>
      </w:r>
      <w:r w:rsidR="007F6D83" w:rsidRPr="00254624">
        <w:rPr>
          <w:sz w:val="28"/>
          <w:szCs w:val="28"/>
        </w:rPr>
        <w:t xml:space="preserve">влении субсидии от </w:t>
      </w:r>
      <w:r w:rsidR="00201055" w:rsidRPr="00254624">
        <w:rPr>
          <w:sz w:val="28"/>
          <w:szCs w:val="28"/>
        </w:rPr>
        <w:t>08</w:t>
      </w:r>
      <w:r w:rsidR="007F6D83" w:rsidRPr="00254624">
        <w:rPr>
          <w:sz w:val="28"/>
          <w:szCs w:val="28"/>
        </w:rPr>
        <w:t>.09.2014</w:t>
      </w:r>
      <w:r w:rsidRPr="00254624">
        <w:rPr>
          <w:sz w:val="28"/>
          <w:szCs w:val="28"/>
        </w:rPr>
        <w:t xml:space="preserve"> № </w:t>
      </w:r>
      <w:r w:rsidRPr="00254624">
        <w:rPr>
          <w:b/>
          <w:bCs/>
          <w:sz w:val="28"/>
          <w:szCs w:val="28"/>
        </w:rPr>
        <w:t>14.57</w:t>
      </w:r>
      <w:r w:rsidR="00201055" w:rsidRPr="00254624">
        <w:rPr>
          <w:b/>
          <w:bCs/>
          <w:sz w:val="28"/>
          <w:szCs w:val="28"/>
        </w:rPr>
        <w:t>4.21.0106</w:t>
      </w:r>
      <w:r w:rsidR="00201055">
        <w:rPr>
          <w:rFonts w:ascii="Times New Roman CYR" w:hAnsi="Times New Roman CYR" w:cs="Times New Roman CYR"/>
          <w:b/>
          <w:bCs/>
        </w:rPr>
        <w:t xml:space="preserve">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201055" w:rsidRPr="009E7441">
        <w:rPr>
          <w:rFonts w:eastAsia="Courier New"/>
          <w:color w:val="000000"/>
          <w:sz w:val="28"/>
          <w:szCs w:val="28"/>
        </w:rPr>
        <w:t>Разработка научно-технических решений по управлению распределением мощности в трансмиссиях грузовых автомобилей для повышения их эн</w:t>
      </w:r>
      <w:bookmarkStart w:id="0" w:name="_GoBack"/>
      <w:bookmarkEnd w:id="0"/>
      <w:r w:rsidR="00201055" w:rsidRPr="009E7441">
        <w:rPr>
          <w:rFonts w:eastAsia="Courier New"/>
          <w:color w:val="000000"/>
          <w:sz w:val="28"/>
          <w:szCs w:val="28"/>
        </w:rPr>
        <w:t>ергоэффективности и топливной экономичности</w:t>
      </w:r>
      <w:r w:rsidR="00A52E84" w:rsidRPr="009E7441">
        <w:rPr>
          <w:rFonts w:eastAsia="Courier New"/>
          <w:color w:val="000000"/>
          <w:sz w:val="28"/>
          <w:szCs w:val="28"/>
        </w:rPr>
        <w:t xml:space="preserve">» на этапе № </w:t>
      </w:r>
      <w:r w:rsidR="00254624">
        <w:rPr>
          <w:rFonts w:eastAsia="Courier New"/>
          <w:color w:val="000000"/>
          <w:sz w:val="28"/>
          <w:szCs w:val="28"/>
        </w:rPr>
        <w:t>2</w:t>
      </w:r>
      <w:r w:rsidR="00A52E84" w:rsidRPr="009E7441">
        <w:rPr>
          <w:rFonts w:eastAsia="Courier New"/>
          <w:color w:val="000000"/>
          <w:sz w:val="28"/>
          <w:szCs w:val="28"/>
        </w:rPr>
        <w:t xml:space="preserve"> «</w:t>
      </w:r>
      <w:r w:rsidR="00254624">
        <w:rPr>
          <w:rFonts w:eastAsia="Courier New"/>
          <w:color w:val="000000"/>
          <w:sz w:val="28"/>
          <w:szCs w:val="28"/>
        </w:rPr>
        <w:t>Разработка эскизной конструкторской документации (этап 1)</w:t>
      </w:r>
      <w:r w:rsidR="00A52E84" w:rsidRPr="009E7441">
        <w:rPr>
          <w:rFonts w:eastAsia="Courier New"/>
          <w:color w:val="000000"/>
          <w:sz w:val="28"/>
          <w:szCs w:val="28"/>
        </w:rPr>
        <w:t xml:space="preserve">» </w:t>
      </w:r>
      <w:r w:rsidR="00254624">
        <w:rPr>
          <w:rFonts w:eastAsia="Courier New"/>
          <w:color w:val="000000"/>
          <w:sz w:val="28"/>
          <w:szCs w:val="28"/>
        </w:rPr>
        <w:t>в период с 01.01</w:t>
      </w:r>
      <w:r w:rsidR="007F6D83" w:rsidRPr="009E7441">
        <w:rPr>
          <w:rFonts w:eastAsia="Courier New"/>
          <w:color w:val="000000"/>
          <w:sz w:val="28"/>
          <w:szCs w:val="28"/>
        </w:rPr>
        <w:t>.201</w:t>
      </w:r>
      <w:r w:rsidR="00254624">
        <w:rPr>
          <w:rFonts w:eastAsia="Courier New"/>
          <w:color w:val="000000"/>
          <w:sz w:val="28"/>
          <w:szCs w:val="28"/>
        </w:rPr>
        <w:t>5 по 30.06.2015</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613E0" w:rsidRDefault="001C4A4A" w:rsidP="009613E0">
      <w:pPr>
        <w:pStyle w:val="12"/>
        <w:spacing w:line="230" w:lineRule="auto"/>
        <w:rPr>
          <w:rFonts w:eastAsia="Courier New"/>
          <w:color w:val="000000"/>
          <w:sz w:val="28"/>
          <w:szCs w:val="28"/>
        </w:rPr>
      </w:pPr>
      <w:r>
        <w:rPr>
          <w:rFonts w:eastAsia="Courier New"/>
          <w:color w:val="000000"/>
          <w:sz w:val="28"/>
          <w:szCs w:val="28"/>
        </w:rPr>
        <w:t>р</w:t>
      </w:r>
      <w:r w:rsidR="009613E0" w:rsidRPr="009613E0">
        <w:rPr>
          <w:rFonts w:eastAsia="Courier New"/>
          <w:color w:val="000000"/>
          <w:sz w:val="28"/>
          <w:szCs w:val="28"/>
        </w:rPr>
        <w:t>азработа</w:t>
      </w:r>
      <w:r w:rsidR="009613E0">
        <w:rPr>
          <w:rFonts w:eastAsia="Courier New"/>
          <w:color w:val="000000"/>
          <w:sz w:val="28"/>
          <w:szCs w:val="28"/>
        </w:rPr>
        <w:t>н макет экспериментального образца комплексной системы распределения мощности (Макет 1), в составе: механизмы блокировки с зубчатыми муфтами межосевого дифференциала раздаточной коробки и межколесных дифференциалов ведущих мостов; системы управления с комплектом датчиков и пневматическим приводом исполнительных устройств.</w:t>
      </w:r>
    </w:p>
    <w:p w:rsidR="009613E0" w:rsidRPr="009613E0" w:rsidRDefault="001C4A4A" w:rsidP="009613E0">
      <w:pPr>
        <w:pStyle w:val="12"/>
        <w:spacing w:line="230" w:lineRule="auto"/>
        <w:rPr>
          <w:rFonts w:eastAsia="Courier New"/>
          <w:color w:val="000000"/>
          <w:sz w:val="28"/>
          <w:szCs w:val="28"/>
        </w:rPr>
      </w:pPr>
      <w:r>
        <w:rPr>
          <w:rFonts w:eastAsia="Courier New"/>
          <w:color w:val="000000"/>
          <w:sz w:val="28"/>
          <w:szCs w:val="28"/>
        </w:rPr>
        <w:t>Э</w:t>
      </w:r>
      <w:r w:rsidR="009613E0" w:rsidRPr="009613E0">
        <w:rPr>
          <w:rFonts w:eastAsia="Courier New"/>
          <w:color w:val="000000"/>
          <w:sz w:val="28"/>
          <w:szCs w:val="28"/>
        </w:rPr>
        <w:t>скизн</w:t>
      </w:r>
      <w:r w:rsidR="009613E0">
        <w:rPr>
          <w:rFonts w:eastAsia="Courier New"/>
          <w:color w:val="000000"/>
          <w:sz w:val="28"/>
          <w:szCs w:val="28"/>
        </w:rPr>
        <w:t>ая</w:t>
      </w:r>
      <w:r w:rsidR="009613E0" w:rsidRPr="009613E0">
        <w:rPr>
          <w:rFonts w:eastAsia="Courier New"/>
          <w:color w:val="000000"/>
          <w:sz w:val="28"/>
          <w:szCs w:val="28"/>
        </w:rPr>
        <w:t xml:space="preserve"> конструкторск</w:t>
      </w:r>
      <w:r w:rsidR="009613E0">
        <w:rPr>
          <w:rFonts w:eastAsia="Courier New"/>
          <w:color w:val="000000"/>
          <w:sz w:val="28"/>
          <w:szCs w:val="28"/>
        </w:rPr>
        <w:t>ая документация</w:t>
      </w:r>
      <w:r w:rsidR="009613E0" w:rsidRPr="009613E0">
        <w:rPr>
          <w:rFonts w:eastAsia="Courier New"/>
          <w:color w:val="000000"/>
          <w:sz w:val="28"/>
          <w:szCs w:val="28"/>
        </w:rPr>
        <w:t xml:space="preserve"> для изготовления макета опытного образца комплексной системы распределения мощности (Макет 1, с зубчатыми муфтами блокировки дифференциалов) </w:t>
      </w:r>
      <w:r>
        <w:rPr>
          <w:rFonts w:eastAsia="Courier New"/>
          <w:color w:val="000000"/>
          <w:sz w:val="28"/>
          <w:szCs w:val="28"/>
        </w:rPr>
        <w:t xml:space="preserve">разработана </w:t>
      </w:r>
      <w:r w:rsidR="009613E0" w:rsidRPr="009613E0">
        <w:rPr>
          <w:rFonts w:eastAsia="Courier New"/>
          <w:color w:val="000000"/>
          <w:sz w:val="28"/>
          <w:szCs w:val="28"/>
        </w:rPr>
        <w:t>в</w:t>
      </w:r>
      <w:r>
        <w:rPr>
          <w:rFonts w:eastAsia="Courier New"/>
          <w:color w:val="000000"/>
          <w:sz w:val="28"/>
          <w:szCs w:val="28"/>
        </w:rPr>
        <w:t xml:space="preserve"> следующем</w:t>
      </w:r>
      <w:r w:rsidR="009613E0" w:rsidRPr="009613E0">
        <w:rPr>
          <w:rFonts w:eastAsia="Courier New"/>
          <w:color w:val="000000"/>
          <w:sz w:val="28"/>
          <w:szCs w:val="28"/>
        </w:rPr>
        <w:t xml:space="preserve"> составе:</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1.</w:t>
      </w:r>
      <w:r w:rsidRPr="009613E0">
        <w:rPr>
          <w:rFonts w:eastAsia="Courier New"/>
          <w:color w:val="000000"/>
          <w:sz w:val="28"/>
          <w:szCs w:val="28"/>
        </w:rPr>
        <w:tab/>
        <w:t>Схема структурная.</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2.</w:t>
      </w:r>
      <w:r w:rsidRPr="009613E0">
        <w:rPr>
          <w:rFonts w:eastAsia="Courier New"/>
          <w:color w:val="000000"/>
          <w:sz w:val="28"/>
          <w:szCs w:val="28"/>
        </w:rPr>
        <w:tab/>
        <w:t>Схема функциональная.</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3.</w:t>
      </w:r>
      <w:r w:rsidRPr="009613E0">
        <w:rPr>
          <w:rFonts w:eastAsia="Courier New"/>
          <w:color w:val="000000"/>
          <w:sz w:val="28"/>
          <w:szCs w:val="28"/>
        </w:rPr>
        <w:tab/>
        <w:t>Схема соединений.</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4.</w:t>
      </w:r>
      <w:r w:rsidRPr="009613E0">
        <w:rPr>
          <w:rFonts w:eastAsia="Courier New"/>
          <w:color w:val="000000"/>
          <w:sz w:val="28"/>
          <w:szCs w:val="28"/>
        </w:rPr>
        <w:tab/>
        <w:t>Схема подключений.</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5.</w:t>
      </w:r>
      <w:r w:rsidRPr="009613E0">
        <w:rPr>
          <w:rFonts w:eastAsia="Courier New"/>
          <w:color w:val="000000"/>
          <w:sz w:val="28"/>
          <w:szCs w:val="28"/>
        </w:rPr>
        <w:tab/>
        <w:t>Чертежи общего вида макета.</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6.</w:t>
      </w:r>
      <w:r w:rsidRPr="009613E0">
        <w:rPr>
          <w:rFonts w:eastAsia="Courier New"/>
          <w:color w:val="000000"/>
          <w:sz w:val="28"/>
          <w:szCs w:val="28"/>
        </w:rPr>
        <w:tab/>
        <w:t>Чертежи монтажные (установочные) систем пневматических, гидравлических, электрических.</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7.</w:t>
      </w:r>
      <w:r w:rsidRPr="009613E0">
        <w:rPr>
          <w:rFonts w:eastAsia="Courier New"/>
          <w:color w:val="000000"/>
          <w:sz w:val="28"/>
          <w:szCs w:val="28"/>
        </w:rPr>
        <w:tab/>
        <w:t>Чертежи сборочные макета, его компонентов и систем.</w:t>
      </w:r>
    </w:p>
    <w:p w:rsidR="009613E0" w:rsidRPr="009613E0"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8.</w:t>
      </w:r>
      <w:r w:rsidRPr="009613E0">
        <w:rPr>
          <w:rFonts w:eastAsia="Courier New"/>
          <w:color w:val="000000"/>
          <w:sz w:val="28"/>
          <w:szCs w:val="28"/>
        </w:rPr>
        <w:tab/>
        <w:t>Чертежи деталей.</w:t>
      </w:r>
    </w:p>
    <w:p w:rsidR="00254624" w:rsidRDefault="009613E0" w:rsidP="009613E0">
      <w:pPr>
        <w:pStyle w:val="12"/>
        <w:tabs>
          <w:tab w:val="left" w:pos="1134"/>
        </w:tabs>
        <w:spacing w:line="230" w:lineRule="auto"/>
        <w:rPr>
          <w:rFonts w:eastAsia="Courier New"/>
          <w:color w:val="000000"/>
          <w:sz w:val="28"/>
          <w:szCs w:val="28"/>
        </w:rPr>
      </w:pPr>
      <w:r w:rsidRPr="009613E0">
        <w:rPr>
          <w:rFonts w:eastAsia="Courier New"/>
          <w:color w:val="000000"/>
          <w:sz w:val="28"/>
          <w:szCs w:val="28"/>
        </w:rPr>
        <w:t>9.</w:t>
      </w:r>
      <w:r w:rsidRPr="009613E0">
        <w:rPr>
          <w:rFonts w:eastAsia="Courier New"/>
          <w:color w:val="000000"/>
          <w:sz w:val="28"/>
          <w:szCs w:val="28"/>
        </w:rPr>
        <w:tab/>
        <w:t>Спецификации.</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Для разработки эскизной конструкторской документации использованы следующие исходные данные</w:t>
      </w:r>
      <w:r>
        <w:rPr>
          <w:rFonts w:eastAsia="Courier New"/>
          <w:color w:val="000000"/>
          <w:sz w:val="28"/>
          <w:szCs w:val="28"/>
        </w:rPr>
        <w:t>:</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 xml:space="preserve">1. Обоснованный на этапе 1 в соответствии с п. 3.3 технического задания оптимальный вариант построения системы распределения мощности в трансмиссиях грузовых автомобилей. При разработке эскизной конструкторской документации согласно обоснованному оптимальному варианту для введения жесткой кинематической связи в процессе движения </w:t>
      </w:r>
      <w:r>
        <w:rPr>
          <w:rFonts w:eastAsia="Courier New"/>
          <w:color w:val="000000"/>
          <w:sz w:val="28"/>
          <w:szCs w:val="28"/>
        </w:rPr>
        <w:t>автомобиля многоцелевого назначения (</w:t>
      </w:r>
      <w:r w:rsidRPr="00805524">
        <w:rPr>
          <w:rFonts w:eastAsia="Courier New"/>
          <w:color w:val="000000"/>
          <w:sz w:val="28"/>
          <w:szCs w:val="28"/>
        </w:rPr>
        <w:t>АМН</w:t>
      </w:r>
      <w:r>
        <w:rPr>
          <w:rFonts w:eastAsia="Courier New"/>
          <w:color w:val="000000"/>
          <w:sz w:val="28"/>
          <w:szCs w:val="28"/>
        </w:rPr>
        <w:t>)</w:t>
      </w:r>
      <w:r w:rsidRPr="00805524">
        <w:rPr>
          <w:rFonts w:eastAsia="Courier New"/>
          <w:color w:val="000000"/>
          <w:sz w:val="28"/>
          <w:szCs w:val="28"/>
        </w:rPr>
        <w:t xml:space="preserve"> необходимо приложить тормозной момент к буксующим колесам и уменьшить подачу топлива для предварительного выравнивания угловых скоростей буксующих колес и последующей блокировки межосевого и межколесных дифференциалов.</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2. Разработанная на этапе 1 методика определения рационального передаточного числа межосевого дифференциала АМН, обеспечивающего требуемый уровень эффекти</w:t>
      </w:r>
      <w:r>
        <w:rPr>
          <w:rFonts w:eastAsia="Courier New"/>
          <w:color w:val="000000"/>
          <w:sz w:val="28"/>
          <w:szCs w:val="28"/>
        </w:rPr>
        <w:t>в</w:t>
      </w:r>
      <w:r w:rsidRPr="00805524">
        <w:rPr>
          <w:rFonts w:eastAsia="Courier New"/>
          <w:color w:val="000000"/>
          <w:sz w:val="28"/>
          <w:szCs w:val="28"/>
        </w:rPr>
        <w:t>ности АМН и рекомендованные на ее основании следующие передаточные отношения межосевых д</w:t>
      </w:r>
      <w:r>
        <w:rPr>
          <w:rFonts w:eastAsia="Courier New"/>
          <w:color w:val="000000"/>
          <w:sz w:val="28"/>
          <w:szCs w:val="28"/>
        </w:rPr>
        <w:t>ифференциалов АМН КАМАЗ.</w:t>
      </w:r>
      <w:r w:rsidRPr="00805524">
        <w:rPr>
          <w:rFonts w:eastAsia="Courier New"/>
          <w:color w:val="000000"/>
          <w:sz w:val="28"/>
          <w:szCs w:val="28"/>
        </w:rPr>
        <w:t xml:space="preserve"> </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lastRenderedPageBreak/>
        <w:t>3. Установленный на этапе 1 факт, заключающийся в том, что при подтормаживании необходимо одновременно исключить буксование колеса на поверхности с худшим сцеплением и обеспечить устойчивое движение АМН.</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4. Послужившая основой для разработки эскизной конструкторской документации системы распределения мощности полученная от индустриального партнера – ОАО «КАМАЗ» конструкторская документация серийно выпускаемого автомобиля.</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ОАО «Камаз» предоставил электронные геометрические модели (ЭГМ) следующих узлов: мост передний; мост средний; мост задний; тормоза; карданные валы; картер редуктора проходного моста; крышка картера моста; колеса; модель установки раздаточной коробки и мостов; спецификации и сборочные чертежи раздаточной коробки, переднего, среднего и задн</w:t>
      </w:r>
      <w:r>
        <w:rPr>
          <w:rFonts w:eastAsia="Courier New"/>
          <w:color w:val="000000"/>
          <w:sz w:val="28"/>
          <w:szCs w:val="28"/>
        </w:rPr>
        <w:t>его мостов автомобиля</w:t>
      </w:r>
      <w:r w:rsidRPr="00805524">
        <w:rPr>
          <w:rFonts w:eastAsia="Courier New"/>
          <w:color w:val="000000"/>
          <w:sz w:val="28"/>
          <w:szCs w:val="28"/>
        </w:rPr>
        <w:t>.</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На разрабатываемую конструкцию системы распределения мощности накладывались следующие ограничения:</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минимизация изменений конструкции картеров раздаточной коробки и ведущих мостов;</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применение пневматического привода механизмов блокировки;</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использование серийной системы АБС/ПБС и тормозной системы;</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применение в системе управления серийной CAN шины;</w:t>
      </w:r>
    </w:p>
    <w:p w:rsidR="00E16F4E" w:rsidRPr="00805524" w:rsidRDefault="00E16F4E" w:rsidP="00E16F4E">
      <w:pPr>
        <w:pStyle w:val="12"/>
        <w:spacing w:line="230" w:lineRule="auto"/>
        <w:rPr>
          <w:rFonts w:eastAsia="Courier New"/>
          <w:color w:val="000000"/>
          <w:sz w:val="28"/>
          <w:szCs w:val="28"/>
        </w:rPr>
      </w:pPr>
      <w:r w:rsidRPr="00805524">
        <w:rPr>
          <w:rFonts w:eastAsia="Courier New"/>
          <w:color w:val="000000"/>
          <w:sz w:val="28"/>
          <w:szCs w:val="28"/>
        </w:rPr>
        <w:t>использование в конструкции зубчатых муфт блокировки дифференциалов серийно применяемой на ПАО «КАМАЗ» стали.</w:t>
      </w:r>
    </w:p>
    <w:p w:rsidR="00E16F4E" w:rsidRDefault="00E16F4E" w:rsidP="00E16F4E">
      <w:pPr>
        <w:pStyle w:val="12"/>
        <w:spacing w:line="230" w:lineRule="auto"/>
        <w:rPr>
          <w:rFonts w:eastAsia="Courier New"/>
          <w:color w:val="000000"/>
          <w:sz w:val="28"/>
          <w:szCs w:val="28"/>
        </w:rPr>
      </w:pPr>
    </w:p>
    <w:p w:rsidR="00E16F4E" w:rsidRPr="00D63607" w:rsidRDefault="00E16F4E" w:rsidP="00E16F4E">
      <w:pPr>
        <w:pStyle w:val="12"/>
        <w:spacing w:line="230" w:lineRule="auto"/>
        <w:rPr>
          <w:rFonts w:eastAsia="Courier New"/>
          <w:color w:val="000000"/>
          <w:sz w:val="28"/>
          <w:szCs w:val="28"/>
        </w:rPr>
      </w:pPr>
      <w:r w:rsidRPr="00D63607">
        <w:rPr>
          <w:rFonts w:eastAsia="Courier New"/>
          <w:color w:val="000000"/>
          <w:sz w:val="28"/>
          <w:szCs w:val="28"/>
        </w:rPr>
        <w:t xml:space="preserve">Для </w:t>
      </w:r>
      <w:r>
        <w:rPr>
          <w:rFonts w:eastAsia="Courier New"/>
          <w:color w:val="000000"/>
          <w:sz w:val="28"/>
          <w:szCs w:val="28"/>
        </w:rPr>
        <w:t xml:space="preserve">разработки эскизной конструкторской документации </w:t>
      </w:r>
      <w:r w:rsidRPr="00D63607">
        <w:rPr>
          <w:rFonts w:eastAsia="Courier New"/>
          <w:color w:val="000000"/>
          <w:sz w:val="28"/>
          <w:szCs w:val="28"/>
        </w:rPr>
        <w:t xml:space="preserve">на втором этапе </w:t>
      </w:r>
      <w:r>
        <w:rPr>
          <w:rFonts w:eastAsia="Courier New"/>
          <w:color w:val="000000"/>
          <w:sz w:val="28"/>
          <w:szCs w:val="28"/>
        </w:rPr>
        <w:t xml:space="preserve">прикладных научных исследований </w:t>
      </w:r>
      <w:r w:rsidRPr="00D63607">
        <w:rPr>
          <w:rFonts w:eastAsia="Courier New"/>
          <w:color w:val="000000"/>
          <w:sz w:val="28"/>
          <w:szCs w:val="28"/>
        </w:rPr>
        <w:t>решены следующие задачи:</w:t>
      </w:r>
    </w:p>
    <w:p w:rsidR="00805524" w:rsidRDefault="00805524" w:rsidP="00E16F4E">
      <w:pPr>
        <w:pStyle w:val="12"/>
        <w:numPr>
          <w:ilvl w:val="0"/>
          <w:numId w:val="5"/>
        </w:numPr>
        <w:tabs>
          <w:tab w:val="left" w:pos="993"/>
        </w:tabs>
        <w:spacing w:line="230" w:lineRule="auto"/>
        <w:ind w:left="0" w:firstLine="709"/>
        <w:rPr>
          <w:rFonts w:eastAsia="Courier New"/>
          <w:color w:val="000000"/>
          <w:sz w:val="28"/>
          <w:szCs w:val="28"/>
        </w:rPr>
      </w:pPr>
      <w:r w:rsidRPr="00805524">
        <w:rPr>
          <w:rFonts w:eastAsia="Courier New"/>
          <w:color w:val="000000"/>
          <w:sz w:val="28"/>
          <w:szCs w:val="28"/>
        </w:rPr>
        <w:t>На основании исходных данных и ограничений, с использованием метода конечных элементов на уникальных научных установках (УНУ) – Суперкомьютере и портативной рабочей станции выполнены расчеты на прочность и долговечность зубчатых муфт блокировки: межосевого дифференциала раздаточной коробки; межосевого дифференциала задней тележки; межколесного дифференциала. На основании результатов расчета найдены допустимые разницы скоростей вращения полумуфт при блокировании дифференциала для обеспечени</w:t>
      </w:r>
      <w:r w:rsidR="00E16F4E">
        <w:rPr>
          <w:rFonts w:eastAsia="Courier New"/>
          <w:color w:val="000000"/>
          <w:sz w:val="28"/>
          <w:szCs w:val="28"/>
        </w:rPr>
        <w:t>я их прочности и долговечности.</w:t>
      </w:r>
    </w:p>
    <w:p w:rsidR="00805524" w:rsidRDefault="00805524" w:rsidP="00E16F4E">
      <w:pPr>
        <w:pStyle w:val="12"/>
        <w:numPr>
          <w:ilvl w:val="0"/>
          <w:numId w:val="5"/>
        </w:numPr>
        <w:tabs>
          <w:tab w:val="left" w:pos="993"/>
        </w:tabs>
        <w:spacing w:line="230" w:lineRule="auto"/>
        <w:ind w:left="0" w:firstLine="709"/>
        <w:rPr>
          <w:rFonts w:eastAsia="Courier New"/>
          <w:color w:val="000000"/>
          <w:sz w:val="28"/>
          <w:szCs w:val="28"/>
        </w:rPr>
      </w:pPr>
      <w:r w:rsidRPr="00E16F4E">
        <w:rPr>
          <w:rFonts w:eastAsia="Courier New"/>
          <w:color w:val="000000"/>
          <w:sz w:val="28"/>
          <w:szCs w:val="28"/>
        </w:rPr>
        <w:t>На основании результатов прочностных расчетов спроектирована система управления, позволяющая производить блокировку (с использованием пневматического привода) межколёсных и межосевых дифференциалов в процессе движения транспортного средства за счёт предварительного выравнивания угловых скоростей ведущих колёс до допустимых величин, определенных из прочностного расчета, путём приложения тормозного момента к буксующему колесу. Разработан новый алгоритм единого блока управления тормозной системой, противобуксовочной системой и блокировкой дифференциалов. Предусмотрено автоматическое управление блокировкой всех пяти дифференциалов.</w:t>
      </w:r>
    </w:p>
    <w:p w:rsidR="00805524" w:rsidRPr="00E16F4E" w:rsidRDefault="00805524" w:rsidP="00E16F4E">
      <w:pPr>
        <w:pStyle w:val="12"/>
        <w:numPr>
          <w:ilvl w:val="0"/>
          <w:numId w:val="5"/>
        </w:numPr>
        <w:tabs>
          <w:tab w:val="left" w:pos="993"/>
        </w:tabs>
        <w:spacing w:line="230" w:lineRule="auto"/>
        <w:ind w:left="0" w:firstLine="709"/>
        <w:rPr>
          <w:rFonts w:eastAsia="Courier New"/>
          <w:color w:val="000000"/>
          <w:sz w:val="28"/>
          <w:szCs w:val="28"/>
        </w:rPr>
      </w:pPr>
      <w:r w:rsidRPr="00E16F4E">
        <w:rPr>
          <w:rFonts w:eastAsia="Courier New"/>
          <w:color w:val="000000"/>
          <w:sz w:val="28"/>
          <w:szCs w:val="28"/>
        </w:rPr>
        <w:lastRenderedPageBreak/>
        <w:t>На основании унификации и результатов прочностных расчетов и выбранных элементов системы управления приводом блокировки дифференциалов разработана эскизная конструкторская документация (КД) для изготовления макета экспериментального образца комплексной системы распределения мощности (Макет 1), в котором блокировка дифференциалов осуществляется с использованием зубчатых муфт с использованием пневматического привода. Использованы серийные ведущие мосты, раздаточная коробка, тормозные механизмы, пневматический привод тормозных механизмов, электропневмопривод блокировки дифференциалов. Выполнено оснащение раздаточной коробки и ведущих мостов оригинальными кулачковыми механизмами блокировки. Пневматический привод блокировки межосевого дифференциала заменен электропневмоприводом. В качестве тормозной системы Макета использована модифицированная тормозная система штатного пол</w:t>
      </w:r>
      <w:r w:rsidR="001C4A4A" w:rsidRPr="00E16F4E">
        <w:rPr>
          <w:rFonts w:eastAsia="Courier New"/>
          <w:color w:val="000000"/>
          <w:sz w:val="28"/>
          <w:szCs w:val="28"/>
        </w:rPr>
        <w:t>ноприводного шасси</w:t>
      </w:r>
      <w:r w:rsidRPr="00E16F4E">
        <w:rPr>
          <w:rFonts w:eastAsia="Courier New"/>
          <w:color w:val="000000"/>
          <w:sz w:val="28"/>
          <w:szCs w:val="28"/>
        </w:rPr>
        <w:t>. Модификация заключалась в увеличении количества датчиков угловых скоростей вращения колес и электропневмоклапанов тормозной системы с 4 до 6 шт.</w:t>
      </w:r>
    </w:p>
    <w:p w:rsidR="00E16F4E" w:rsidRDefault="00E16F4E" w:rsidP="00805524">
      <w:pPr>
        <w:pStyle w:val="12"/>
        <w:spacing w:line="230" w:lineRule="auto"/>
        <w:rPr>
          <w:rFonts w:eastAsia="Courier New"/>
          <w:color w:val="000000"/>
          <w:sz w:val="28"/>
          <w:szCs w:val="28"/>
        </w:rPr>
      </w:pPr>
    </w:p>
    <w:p w:rsidR="00805524" w:rsidRPr="00805524" w:rsidRDefault="00E16F4E" w:rsidP="00805524">
      <w:pPr>
        <w:pStyle w:val="12"/>
        <w:spacing w:line="230" w:lineRule="auto"/>
        <w:rPr>
          <w:rFonts w:eastAsia="Courier New"/>
          <w:color w:val="000000"/>
          <w:sz w:val="28"/>
          <w:szCs w:val="28"/>
        </w:rPr>
      </w:pPr>
      <w:r>
        <w:rPr>
          <w:rFonts w:eastAsia="Courier New"/>
          <w:color w:val="000000"/>
          <w:sz w:val="28"/>
          <w:szCs w:val="28"/>
        </w:rPr>
        <w:t>Разработанная с</w:t>
      </w:r>
      <w:r w:rsidR="00805524" w:rsidRPr="00805524">
        <w:rPr>
          <w:rFonts w:eastAsia="Courier New"/>
          <w:color w:val="000000"/>
          <w:sz w:val="28"/>
          <w:szCs w:val="28"/>
        </w:rPr>
        <w:t xml:space="preserve">истема распределения мощности обеспечивает повышение показателей энергоэффективности и топливной экономичности за счёт более полного использования сцепных свойств ведущих колёс с опорной поверхностью и снижения затрат энергии на буксование. </w:t>
      </w:r>
    </w:p>
    <w:p w:rsidR="00805524" w:rsidRPr="00805524" w:rsidRDefault="00E16F4E" w:rsidP="00805524">
      <w:pPr>
        <w:pStyle w:val="12"/>
        <w:spacing w:line="230" w:lineRule="auto"/>
        <w:rPr>
          <w:rFonts w:eastAsia="Courier New"/>
          <w:color w:val="000000"/>
          <w:sz w:val="28"/>
          <w:szCs w:val="28"/>
        </w:rPr>
      </w:pPr>
      <w:r>
        <w:rPr>
          <w:rFonts w:eastAsia="Courier New"/>
          <w:color w:val="000000"/>
          <w:sz w:val="28"/>
          <w:szCs w:val="28"/>
        </w:rPr>
        <w:t>Разработанная с</w:t>
      </w:r>
      <w:r w:rsidRPr="00805524">
        <w:rPr>
          <w:rFonts w:eastAsia="Courier New"/>
          <w:color w:val="000000"/>
          <w:sz w:val="28"/>
          <w:szCs w:val="28"/>
        </w:rPr>
        <w:t>истема распределения мощности</w:t>
      </w:r>
      <w:r>
        <w:rPr>
          <w:rFonts w:eastAsia="Courier New"/>
          <w:color w:val="000000"/>
          <w:sz w:val="28"/>
          <w:szCs w:val="28"/>
        </w:rPr>
        <w:t xml:space="preserve"> функционирует в следующих режимах</w:t>
      </w:r>
      <w:r w:rsidR="00805524" w:rsidRPr="00805524">
        <w:rPr>
          <w:rFonts w:eastAsia="Courier New"/>
          <w:color w:val="000000"/>
          <w:sz w:val="28"/>
          <w:szCs w:val="28"/>
        </w:rPr>
        <w:t>:</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1.</w:t>
      </w:r>
      <w:r w:rsidRPr="00805524">
        <w:rPr>
          <w:rFonts w:eastAsia="Courier New"/>
          <w:color w:val="000000"/>
          <w:sz w:val="28"/>
          <w:szCs w:val="28"/>
        </w:rPr>
        <w:tab/>
        <w:t>Автоматический (AutoMode) – система анализирует полученные от различных датчиков данные, определяет режим движения автомобиля и управляет блокировкой/разблокировкой дифференциалов. Процесс непрерывен и полностью автоматизирован.</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2.</w:t>
      </w:r>
      <w:r w:rsidRPr="00805524">
        <w:rPr>
          <w:rFonts w:eastAsia="Courier New"/>
          <w:color w:val="000000"/>
          <w:sz w:val="28"/>
          <w:szCs w:val="28"/>
        </w:rPr>
        <w:tab/>
        <w:t>Ручной с частичной автоматизацией (MixedMode) – система анализирует полученные данные, определяет режим движения автомобиля и предлагант водтелю вариант управления блокировкой/разблокировкой дифференциалов. Процесс непрерывен и частично автоматизирован. Решение принимает водитель. Требует наличия на панели приборов монитора либо контрольных ламп.</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3.</w:t>
      </w:r>
      <w:r w:rsidRPr="00805524">
        <w:rPr>
          <w:rFonts w:eastAsia="Courier New"/>
          <w:color w:val="000000"/>
          <w:sz w:val="28"/>
          <w:szCs w:val="28"/>
        </w:rPr>
        <w:tab/>
        <w:t>Ручной (ManualMode) – водитель самостоятельно принимает решение о блокировке/разблокировке дифференциалов.</w:t>
      </w:r>
    </w:p>
    <w:p w:rsidR="00805524" w:rsidRPr="00805524" w:rsidRDefault="00E16F4E" w:rsidP="00805524">
      <w:pPr>
        <w:pStyle w:val="12"/>
        <w:spacing w:line="230" w:lineRule="auto"/>
        <w:rPr>
          <w:rFonts w:eastAsia="Courier New"/>
          <w:color w:val="000000"/>
          <w:sz w:val="28"/>
          <w:szCs w:val="28"/>
        </w:rPr>
      </w:pPr>
      <w:r>
        <w:rPr>
          <w:rFonts w:eastAsia="Courier New"/>
          <w:color w:val="000000"/>
          <w:sz w:val="28"/>
          <w:szCs w:val="28"/>
        </w:rPr>
        <w:t>Разработанная с</w:t>
      </w:r>
      <w:r w:rsidR="00805524" w:rsidRPr="00805524">
        <w:rPr>
          <w:rFonts w:eastAsia="Courier New"/>
          <w:color w:val="000000"/>
          <w:sz w:val="28"/>
          <w:szCs w:val="28"/>
        </w:rPr>
        <w:t>истема распределения мощности интегрирована с современными системами автомобильной электроники:</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1.</w:t>
      </w:r>
      <w:r w:rsidRPr="00805524">
        <w:rPr>
          <w:rFonts w:eastAsia="Courier New"/>
          <w:color w:val="000000"/>
          <w:sz w:val="28"/>
          <w:szCs w:val="28"/>
        </w:rPr>
        <w:tab/>
        <w:t>Системами активной безопасности – ESP, EBS/ABS.</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2.</w:t>
      </w:r>
      <w:r w:rsidRPr="00805524">
        <w:rPr>
          <w:rFonts w:eastAsia="Courier New"/>
          <w:color w:val="000000"/>
          <w:sz w:val="28"/>
          <w:szCs w:val="28"/>
        </w:rPr>
        <w:tab/>
        <w:t>Противобуксовочной системой – ASR.</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3.</w:t>
      </w:r>
      <w:r w:rsidRPr="00805524">
        <w:rPr>
          <w:rFonts w:eastAsia="Courier New"/>
          <w:color w:val="000000"/>
          <w:sz w:val="28"/>
          <w:szCs w:val="28"/>
        </w:rPr>
        <w:tab/>
        <w:t>Спутниковой системой навигации – GPS/ГЛОНАСС.</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Система распределения мощности содержит следующие датчики:</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1.</w:t>
      </w:r>
      <w:r w:rsidRPr="00805524">
        <w:rPr>
          <w:rFonts w:eastAsia="Courier New"/>
          <w:color w:val="000000"/>
          <w:sz w:val="28"/>
          <w:szCs w:val="28"/>
        </w:rPr>
        <w:tab/>
        <w:t>Датчик частоты вращения входного вала коробки передач.</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2.</w:t>
      </w:r>
      <w:r w:rsidRPr="00805524">
        <w:rPr>
          <w:rFonts w:eastAsia="Courier New"/>
          <w:color w:val="000000"/>
          <w:sz w:val="28"/>
          <w:szCs w:val="28"/>
        </w:rPr>
        <w:tab/>
        <w:t>Датчики включения передач и блокировки в раздаточной коробке.</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3.</w:t>
      </w:r>
      <w:r w:rsidRPr="00805524">
        <w:rPr>
          <w:rFonts w:eastAsia="Courier New"/>
          <w:color w:val="000000"/>
          <w:sz w:val="28"/>
          <w:szCs w:val="28"/>
        </w:rPr>
        <w:tab/>
        <w:t>Датчики блокировки межколёсных дифференциалов.</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4.</w:t>
      </w:r>
      <w:r w:rsidRPr="00805524">
        <w:rPr>
          <w:rFonts w:eastAsia="Courier New"/>
          <w:color w:val="000000"/>
          <w:sz w:val="28"/>
          <w:szCs w:val="28"/>
        </w:rPr>
        <w:tab/>
        <w:t>Датчик блокировки дифференциала задней тележки.</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5.</w:t>
      </w:r>
      <w:r w:rsidRPr="00805524">
        <w:rPr>
          <w:rFonts w:eastAsia="Courier New"/>
          <w:color w:val="000000"/>
          <w:sz w:val="28"/>
          <w:szCs w:val="28"/>
        </w:rPr>
        <w:tab/>
        <w:t>Датчики частот вращения колёс автомобиля.</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lastRenderedPageBreak/>
        <w:t>6.</w:t>
      </w:r>
      <w:r w:rsidRPr="00805524">
        <w:rPr>
          <w:rFonts w:eastAsia="Courier New"/>
          <w:color w:val="000000"/>
          <w:sz w:val="28"/>
          <w:szCs w:val="28"/>
        </w:rPr>
        <w:tab/>
        <w:t>Датчики углов поворота управляемых колёс.</w:t>
      </w:r>
    </w:p>
    <w:p w:rsidR="00805524" w:rsidRPr="00805524" w:rsidRDefault="00805524" w:rsidP="001C4A4A">
      <w:pPr>
        <w:pStyle w:val="12"/>
        <w:tabs>
          <w:tab w:val="left" w:pos="993"/>
        </w:tabs>
        <w:spacing w:line="230" w:lineRule="auto"/>
        <w:rPr>
          <w:rFonts w:eastAsia="Courier New"/>
          <w:color w:val="000000"/>
          <w:sz w:val="28"/>
          <w:szCs w:val="28"/>
        </w:rPr>
      </w:pPr>
      <w:r w:rsidRPr="00805524">
        <w:rPr>
          <w:rFonts w:eastAsia="Courier New"/>
          <w:color w:val="000000"/>
          <w:sz w:val="28"/>
          <w:szCs w:val="28"/>
        </w:rPr>
        <w:t>7.</w:t>
      </w:r>
      <w:r w:rsidRPr="00805524">
        <w:rPr>
          <w:rFonts w:eastAsia="Courier New"/>
          <w:color w:val="000000"/>
          <w:sz w:val="28"/>
          <w:szCs w:val="28"/>
        </w:rPr>
        <w:tab/>
        <w:t>Для повышения точности определения начала буксования колёс датчики давления в шинах и хода подвески.</w:t>
      </w:r>
    </w:p>
    <w:p w:rsidR="00805524" w:rsidRPr="00805524" w:rsidRDefault="00805524" w:rsidP="00805524">
      <w:pPr>
        <w:pStyle w:val="12"/>
        <w:spacing w:line="230" w:lineRule="auto"/>
        <w:rPr>
          <w:rFonts w:eastAsia="Courier New"/>
          <w:color w:val="000000"/>
          <w:sz w:val="28"/>
          <w:szCs w:val="28"/>
        </w:rPr>
      </w:pPr>
      <w:r w:rsidRPr="00805524">
        <w:rPr>
          <w:rFonts w:eastAsia="Courier New"/>
          <w:color w:val="000000"/>
          <w:sz w:val="28"/>
          <w:szCs w:val="28"/>
        </w:rPr>
        <w:t>Система распределения мощности обеспечивает соответствие углового ускорения ведущих колёс автомобиля определённому угловому ускорению автомобиля, датчиком, которого является акселерометр.</w:t>
      </w:r>
    </w:p>
    <w:p w:rsidR="00805524" w:rsidRPr="00805524" w:rsidRDefault="00805524" w:rsidP="00805524">
      <w:pPr>
        <w:pStyle w:val="12"/>
        <w:spacing w:line="230" w:lineRule="auto"/>
        <w:rPr>
          <w:rFonts w:eastAsia="Courier New"/>
          <w:color w:val="000000"/>
          <w:sz w:val="28"/>
          <w:szCs w:val="28"/>
        </w:rPr>
      </w:pPr>
      <w:r w:rsidRPr="00805524">
        <w:rPr>
          <w:rFonts w:eastAsia="Courier New"/>
          <w:color w:val="000000"/>
          <w:sz w:val="28"/>
          <w:szCs w:val="28"/>
        </w:rPr>
        <w:t>Система распределения мощности обеспечивает соответствие расчётного радиуса поворота, определённого по углу поворота управляемых колёс и скоростей вращения колёс, действительному радиусу поворота, определённому по угловому ускорению автомобиля.</w:t>
      </w:r>
    </w:p>
    <w:p w:rsidR="00805524" w:rsidRPr="00805524" w:rsidRDefault="00805524" w:rsidP="00805524">
      <w:pPr>
        <w:pStyle w:val="12"/>
        <w:spacing w:line="230" w:lineRule="auto"/>
        <w:rPr>
          <w:rFonts w:eastAsia="Courier New"/>
          <w:color w:val="000000"/>
          <w:sz w:val="28"/>
          <w:szCs w:val="28"/>
        </w:rPr>
      </w:pPr>
      <w:r w:rsidRPr="00805524">
        <w:rPr>
          <w:rFonts w:eastAsia="Courier New"/>
          <w:color w:val="000000"/>
          <w:sz w:val="28"/>
          <w:szCs w:val="28"/>
        </w:rPr>
        <w:t>Система запоминает маршрут, дорожные и погодные условия на день поездки, имеет алгоритм самообучаемости.</w:t>
      </w:r>
    </w:p>
    <w:p w:rsidR="00805524" w:rsidRPr="00805524" w:rsidRDefault="00805524" w:rsidP="00805524">
      <w:pPr>
        <w:pStyle w:val="12"/>
        <w:spacing w:line="230" w:lineRule="auto"/>
        <w:rPr>
          <w:rFonts w:eastAsia="Courier New"/>
          <w:color w:val="000000"/>
          <w:sz w:val="28"/>
          <w:szCs w:val="28"/>
        </w:rPr>
      </w:pPr>
      <w:r w:rsidRPr="00805524">
        <w:rPr>
          <w:rFonts w:eastAsia="Courier New"/>
          <w:color w:val="000000"/>
          <w:sz w:val="28"/>
          <w:szCs w:val="28"/>
        </w:rPr>
        <w:t>Система имеет защиту от принудительного включения при угрозе потери управляемости, изменения вектора тяги, возникновения недопустимых динамических нагрузок в трансмиссии. Ограничения включения блокировки по углу поворота управляемых колёс определяются в ходе дорожных испытаний.</w:t>
      </w:r>
    </w:p>
    <w:p w:rsidR="00003120" w:rsidRDefault="00003120" w:rsidP="00805524">
      <w:pPr>
        <w:pStyle w:val="12"/>
        <w:spacing w:line="230" w:lineRule="auto"/>
        <w:rPr>
          <w:rFonts w:eastAsia="Courier New"/>
          <w:color w:val="000000"/>
          <w:sz w:val="28"/>
          <w:szCs w:val="28"/>
        </w:rPr>
      </w:pPr>
    </w:p>
    <w:p w:rsidR="00805524" w:rsidRDefault="00805524" w:rsidP="00805524">
      <w:pPr>
        <w:pStyle w:val="12"/>
        <w:spacing w:line="230" w:lineRule="auto"/>
        <w:rPr>
          <w:rFonts w:eastAsia="Courier New"/>
          <w:color w:val="000000"/>
          <w:sz w:val="28"/>
          <w:szCs w:val="28"/>
        </w:rPr>
      </w:pPr>
      <w:r w:rsidRPr="00805524">
        <w:rPr>
          <w:rFonts w:eastAsia="Courier New"/>
          <w:color w:val="000000"/>
          <w:sz w:val="28"/>
          <w:szCs w:val="28"/>
        </w:rPr>
        <w:t>Таким образом, в разработанной комплексной системе распределения мощности использованы серийные ведущие мосты, раздаточная коробка, тормозные механизмы, пневматический привод тормозных механизмов, электропневмопривод блокировки дифференциалов. В результате выполнения проекта серийная раздаточная коробка и ведущие мосты оснащаются оригинальными кулачковыми механизмами блокировки. Пневматический привод блокировки межосевого дифференциала заменяется электропневмоприводом. Предусмотрено автоматическое управление блокировкой всех пяти дифференциалов. Разработан новый алгоритм единого блока управления тормозной системой, проитивобуксовочной системой и блокировкой дифференциалов.</w:t>
      </w:r>
    </w:p>
    <w:p w:rsidR="00E16F4E" w:rsidRPr="00E16F4E" w:rsidRDefault="00E16F4E" w:rsidP="00E16F4E">
      <w:pPr>
        <w:pStyle w:val="12"/>
        <w:spacing w:line="230" w:lineRule="auto"/>
        <w:rPr>
          <w:rFonts w:eastAsia="Courier New"/>
          <w:color w:val="000000"/>
          <w:sz w:val="28"/>
          <w:szCs w:val="28"/>
        </w:rPr>
      </w:pPr>
      <w:r w:rsidRPr="00E16F4E">
        <w:rPr>
          <w:rFonts w:eastAsia="Courier New"/>
          <w:color w:val="000000"/>
          <w:sz w:val="28"/>
          <w:szCs w:val="28"/>
        </w:rPr>
        <w:t>С использованием результатов работ, полученных на отчетном этапе, опубликована 1 научная статья:</w:t>
      </w:r>
    </w:p>
    <w:p w:rsidR="00E16F4E" w:rsidRPr="00E16F4E" w:rsidRDefault="00E16F4E" w:rsidP="00E16F4E">
      <w:pPr>
        <w:pStyle w:val="12"/>
        <w:spacing w:line="230" w:lineRule="auto"/>
        <w:rPr>
          <w:rFonts w:eastAsia="Courier New"/>
          <w:color w:val="000000"/>
          <w:sz w:val="28"/>
          <w:szCs w:val="28"/>
        </w:rPr>
      </w:pPr>
      <w:r w:rsidRPr="00E16F4E">
        <w:rPr>
          <w:rFonts w:eastAsia="Courier New"/>
          <w:color w:val="000000"/>
          <w:sz w:val="28"/>
          <w:szCs w:val="28"/>
        </w:rPr>
        <w:t>Анчуков В.В, Скакунов И.А., Лех И.А. Оценка эксплуатационных свойств трансмиссии автомобиля многоцелевого назначения с помощью имитационного моделирования в пакете LMS Imagine.Lab AMESim. Актуальные направления научных исследований: от теории к практике. Сборник материалов III международной научно-практической конференции, Чебоксары, 2015 (Индексируется ВИНИТИ).</w:t>
      </w:r>
    </w:p>
    <w:p w:rsidR="00805524" w:rsidRDefault="00E16F4E" w:rsidP="00E16F4E">
      <w:pPr>
        <w:pStyle w:val="12"/>
        <w:spacing w:line="230" w:lineRule="auto"/>
        <w:rPr>
          <w:rFonts w:eastAsia="Courier New"/>
          <w:color w:val="000000"/>
          <w:sz w:val="28"/>
          <w:szCs w:val="28"/>
        </w:rPr>
      </w:pPr>
      <w:r w:rsidRPr="00E16F4E">
        <w:rPr>
          <w:rFonts w:eastAsia="Courier New"/>
          <w:color w:val="000000"/>
          <w:sz w:val="28"/>
          <w:szCs w:val="28"/>
        </w:rPr>
        <w:t>По результатам работ подана заявка на полезную модель «Самоблокирующийся дифференциал» (авторы Истомин Денис Игоревич, Келлер Андрей Владимирович, Шелепов Андрей Анатольевич.</w:t>
      </w:r>
    </w:p>
    <w:p w:rsidR="008B3A6E" w:rsidRPr="00201055" w:rsidRDefault="00201055" w:rsidP="00A234D1">
      <w:pPr>
        <w:pStyle w:val="12"/>
        <w:spacing w:line="240" w:lineRule="auto"/>
        <w:rPr>
          <w:rFonts w:eastAsia="Courier New"/>
          <w:color w:val="000000"/>
          <w:sz w:val="28"/>
          <w:szCs w:val="28"/>
        </w:rPr>
      </w:pPr>
      <w:r w:rsidRPr="00201055">
        <w:rPr>
          <w:rFonts w:eastAsia="Courier New"/>
          <w:color w:val="000000"/>
          <w:sz w:val="28"/>
          <w:szCs w:val="28"/>
        </w:rPr>
        <w:t>Выполненные исследования показали, что предлагаемая к разработке система распределения мощности впервые в мире решает в комплексе задачу повышения проходимости и обеспечения устойчивости серийных грузовых полноприводных автомобилей. Решение данной технической задачи является необходимым этапом развития отечественной техники.</w:t>
      </w:r>
      <w:r w:rsidR="008B3A6E" w:rsidRPr="00201055">
        <w:rPr>
          <w:rFonts w:eastAsia="Courier New"/>
          <w:color w:val="000000"/>
          <w:sz w:val="28"/>
          <w:szCs w:val="28"/>
        </w:rPr>
        <w:t xml:space="preserve"> </w:t>
      </w:r>
    </w:p>
    <w:p w:rsidR="00A234D1" w:rsidRDefault="00A234D1" w:rsidP="00A234D1">
      <w:pPr>
        <w:ind w:firstLine="708"/>
        <w:jc w:val="both"/>
        <w:rPr>
          <w:rFonts w:ascii="Times New Roman" w:hAnsi="Times New Roman" w:cs="Times New Roman"/>
          <w:b/>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lastRenderedPageBreak/>
        <w:t>Перспективы практического внедрения результатов</w:t>
      </w:r>
      <w:r w:rsidR="00A234D1" w:rsidRPr="00A234D1">
        <w:rPr>
          <w:rFonts w:ascii="Times New Roman" w:hAnsi="Times New Roman" w:cs="Times New Roman"/>
          <w:b/>
          <w:sz w:val="28"/>
          <w:szCs w:val="28"/>
        </w:rPr>
        <w:t>.</w:t>
      </w:r>
    </w:p>
    <w:p w:rsidR="00A234D1" w:rsidRPr="00E16F4E" w:rsidRDefault="00A234D1" w:rsidP="00E16F4E">
      <w:pPr>
        <w:ind w:firstLine="708"/>
        <w:jc w:val="both"/>
        <w:rPr>
          <w:rFonts w:ascii="Times New Roman" w:hAnsi="Times New Roman" w:cs="Times New Roman"/>
          <w:sz w:val="28"/>
          <w:szCs w:val="28"/>
        </w:rPr>
      </w:pPr>
      <w:r w:rsidRPr="00E16F4E">
        <w:rPr>
          <w:rFonts w:ascii="Times New Roman" w:hAnsi="Times New Roman" w:cs="Times New Roman"/>
          <w:sz w:val="28"/>
          <w:szCs w:val="28"/>
        </w:rPr>
        <w:t>Разработанная в рамках ПНИ система управления распределением мощности планируется к внедрению на всех полноприводных грузовых автомобилях КАМАЗ. Планируемый объем вы</w:t>
      </w:r>
      <w:r w:rsidR="00425524" w:rsidRPr="00E16F4E">
        <w:rPr>
          <w:rFonts w:ascii="Times New Roman" w:hAnsi="Times New Roman" w:cs="Times New Roman"/>
          <w:sz w:val="28"/>
          <w:szCs w:val="28"/>
        </w:rPr>
        <w:t>пуска к 2020</w:t>
      </w:r>
      <w:r w:rsidRPr="00E16F4E">
        <w:rPr>
          <w:rFonts w:ascii="Times New Roman" w:hAnsi="Times New Roman" w:cs="Times New Roman"/>
          <w:sz w:val="28"/>
          <w:szCs w:val="28"/>
        </w:rPr>
        <w:t>г</w:t>
      </w:r>
      <w:r w:rsidR="00425524" w:rsidRPr="00E16F4E">
        <w:rPr>
          <w:rFonts w:ascii="Times New Roman" w:hAnsi="Times New Roman" w:cs="Times New Roman"/>
          <w:sz w:val="28"/>
          <w:szCs w:val="28"/>
        </w:rPr>
        <w:t>.</w:t>
      </w:r>
      <w:r w:rsidRPr="00E16F4E">
        <w:rPr>
          <w:rFonts w:ascii="Times New Roman" w:hAnsi="Times New Roman" w:cs="Times New Roman"/>
          <w:sz w:val="28"/>
          <w:szCs w:val="28"/>
        </w:rPr>
        <w:t xml:space="preserve"> составит более 30 000 автомобилей в год.</w:t>
      </w:r>
    </w:p>
    <w:p w:rsidR="00E62345" w:rsidRPr="00E16F4E" w:rsidRDefault="00A234D1" w:rsidP="001C4A4A">
      <w:pPr>
        <w:pStyle w:val="Bodytext1"/>
        <w:shd w:val="clear" w:color="auto" w:fill="auto"/>
        <w:tabs>
          <w:tab w:val="left" w:pos="722"/>
        </w:tabs>
        <w:spacing w:line="240" w:lineRule="auto"/>
        <w:ind w:firstLine="0"/>
        <w:jc w:val="both"/>
        <w:rPr>
          <w:b/>
          <w:sz w:val="28"/>
          <w:szCs w:val="28"/>
        </w:rPr>
      </w:pPr>
      <w:r w:rsidRPr="00E16F4E">
        <w:rPr>
          <w:sz w:val="28"/>
          <w:szCs w:val="28"/>
        </w:rPr>
        <w:tab/>
      </w:r>
      <w:r w:rsidR="00E62345" w:rsidRPr="00E16F4E">
        <w:rPr>
          <w:sz w:val="28"/>
          <w:szCs w:val="28"/>
        </w:rPr>
        <w:t>Комиссия Минобрнауки России признала обязательства по Соглашению на отчетном этапе и</w:t>
      </w:r>
      <w:r w:rsidR="008B3A6E" w:rsidRPr="00E16F4E">
        <w:rPr>
          <w:sz w:val="28"/>
          <w:szCs w:val="28"/>
        </w:rPr>
        <w:t>сполненными надлежащим образом.</w:t>
      </w:r>
    </w:p>
    <w:sectPr w:rsidR="00E62345" w:rsidRPr="00E16F4E"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D2" w:rsidRDefault="00444AD2" w:rsidP="00B16B0F">
      <w:r>
        <w:separator/>
      </w:r>
    </w:p>
  </w:endnote>
  <w:endnote w:type="continuationSeparator" w:id="0">
    <w:p w:rsidR="00444AD2" w:rsidRDefault="00444AD2"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D2" w:rsidRDefault="00444AD2" w:rsidP="00B16B0F">
      <w:r>
        <w:separator/>
      </w:r>
    </w:p>
  </w:footnote>
  <w:footnote w:type="continuationSeparator" w:id="0">
    <w:p w:rsidR="00444AD2" w:rsidRDefault="00444AD2"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840505B"/>
    <w:multiLevelType w:val="hybridMultilevel"/>
    <w:tmpl w:val="00D2B220"/>
    <w:lvl w:ilvl="0" w:tplc="E6E6B7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03120"/>
    <w:rsid w:val="00060328"/>
    <w:rsid w:val="00124B11"/>
    <w:rsid w:val="001B54BA"/>
    <w:rsid w:val="001C4A4A"/>
    <w:rsid w:val="001D3D41"/>
    <w:rsid w:val="00201055"/>
    <w:rsid w:val="00254624"/>
    <w:rsid w:val="00324BCE"/>
    <w:rsid w:val="003F7AEB"/>
    <w:rsid w:val="00425524"/>
    <w:rsid w:val="00444AD2"/>
    <w:rsid w:val="005345B5"/>
    <w:rsid w:val="005852CF"/>
    <w:rsid w:val="005C5152"/>
    <w:rsid w:val="00717C9C"/>
    <w:rsid w:val="00720A25"/>
    <w:rsid w:val="007F6D83"/>
    <w:rsid w:val="00805524"/>
    <w:rsid w:val="00864A81"/>
    <w:rsid w:val="008B3A6E"/>
    <w:rsid w:val="009160BE"/>
    <w:rsid w:val="009613E0"/>
    <w:rsid w:val="009E7441"/>
    <w:rsid w:val="00A06049"/>
    <w:rsid w:val="00A234D1"/>
    <w:rsid w:val="00A52E84"/>
    <w:rsid w:val="00A640A7"/>
    <w:rsid w:val="00AA43D8"/>
    <w:rsid w:val="00B16B0F"/>
    <w:rsid w:val="00B70B6E"/>
    <w:rsid w:val="00BD596E"/>
    <w:rsid w:val="00C20BD2"/>
    <w:rsid w:val="00C7401B"/>
    <w:rsid w:val="00CE447B"/>
    <w:rsid w:val="00D63607"/>
    <w:rsid w:val="00D65243"/>
    <w:rsid w:val="00E16F4E"/>
    <w:rsid w:val="00E62345"/>
    <w:rsid w:val="00EB479F"/>
    <w:rsid w:val="00EC74F2"/>
    <w:rsid w:val="00F82F95"/>
    <w:rsid w:val="00F96097"/>
    <w:rsid w:val="00FE60A2"/>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2870-82F6-41DC-9819-1D8A7FE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4097-F186-4206-9CD9-C2C38175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8</cp:revision>
  <dcterms:created xsi:type="dcterms:W3CDTF">2015-01-28T06:22:00Z</dcterms:created>
  <dcterms:modified xsi:type="dcterms:W3CDTF">2015-09-08T09:03:00Z</dcterms:modified>
</cp:coreProperties>
</file>